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E2" w:rsidRDefault="00851561" w:rsidP="00022895">
      <w:pPr>
        <w:tabs>
          <w:tab w:val="left" w:pos="7260"/>
        </w:tabs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noProof/>
          <w:sz w:val="32"/>
        </w:rPr>
        <w:drawing>
          <wp:anchor distT="0" distB="0" distL="114300" distR="43434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828800" cy="1282700"/>
            <wp:effectExtent l="25400" t="0" r="0" b="0"/>
            <wp:wrapSquare wrapText="bothSides"/>
            <wp:docPr id="1" name="" descr="WSCN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CN logo smal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2895" w:rsidRPr="00931EBF">
        <w:rPr>
          <w:rFonts w:asciiTheme="majorHAnsi" w:hAnsiTheme="majorHAnsi"/>
          <w:b/>
          <w:sz w:val="32"/>
        </w:rPr>
        <w:t xml:space="preserve">Wyoming Smart Capital Network </w:t>
      </w:r>
    </w:p>
    <w:p w:rsidR="00022895" w:rsidRPr="00931EBF" w:rsidRDefault="00022895" w:rsidP="00022895">
      <w:pPr>
        <w:tabs>
          <w:tab w:val="left" w:pos="7260"/>
        </w:tabs>
        <w:rPr>
          <w:rFonts w:asciiTheme="majorHAnsi" w:hAnsiTheme="majorHAnsi"/>
          <w:b/>
          <w:sz w:val="32"/>
        </w:rPr>
      </w:pPr>
      <w:r w:rsidRPr="00931EBF">
        <w:rPr>
          <w:rFonts w:asciiTheme="majorHAnsi" w:hAnsiTheme="majorHAnsi"/>
          <w:b/>
          <w:sz w:val="32"/>
        </w:rPr>
        <w:t>Collateral Support Program</w:t>
      </w:r>
      <w:r w:rsidRPr="00931EBF">
        <w:rPr>
          <w:rFonts w:asciiTheme="majorHAnsi" w:hAnsiTheme="majorHAnsi"/>
          <w:b/>
          <w:sz w:val="32"/>
        </w:rPr>
        <w:tab/>
      </w:r>
    </w:p>
    <w:p w:rsidR="00022895" w:rsidRDefault="00022895"/>
    <w:p w:rsidR="008C78E2" w:rsidRDefault="00851561"/>
    <w:p w:rsidR="008C78E2" w:rsidRDefault="00851561"/>
    <w:p w:rsidR="008C78E2" w:rsidRDefault="00851561"/>
    <w:p w:rsidR="008C78E2" w:rsidRDefault="00851561"/>
    <w:p w:rsidR="00022895" w:rsidRPr="00022895" w:rsidRDefault="000C0633">
      <w:r>
        <w:t>City of Rawlins</w:t>
      </w:r>
      <w:r w:rsidR="00022895" w:rsidRPr="00022895">
        <w:t xml:space="preserve"> is proud to be a member of the Wyoming Smart Capital Network, bringing a new tool to help capitalize </w:t>
      </w:r>
      <w:r>
        <w:t>Rawlins</w:t>
      </w:r>
      <w:r w:rsidR="00022895" w:rsidRPr="00022895">
        <w:t xml:space="preserve"> businesses.</w:t>
      </w:r>
    </w:p>
    <w:p w:rsidR="00022895" w:rsidRPr="00022895" w:rsidRDefault="00022895" w:rsidP="00022895"/>
    <w:p w:rsidR="00022895" w:rsidRPr="00931EBF" w:rsidRDefault="00022895" w:rsidP="00022895">
      <w:pPr>
        <w:rPr>
          <w:rFonts w:cs="Geneva"/>
          <w:color w:val="000000"/>
          <w:szCs w:val="20"/>
        </w:rPr>
      </w:pPr>
      <w:r w:rsidRPr="00022895">
        <w:t xml:space="preserve">If you </w:t>
      </w:r>
      <w:r w:rsidR="00851561">
        <w:t xml:space="preserve">are a local business and </w:t>
      </w:r>
      <w:r w:rsidRPr="00022895">
        <w:t xml:space="preserve">need operating capital, </w:t>
      </w:r>
      <w:r w:rsidRPr="00931EBF">
        <w:t xml:space="preserve">but lack sufficient collateral to secure a bank loan, this tool can help you bridge the gap. The WSCN program can provide up to 50% of the collateral required by your bank. </w:t>
      </w:r>
      <w:r w:rsidRPr="00931EBF">
        <w:rPr>
          <w:rFonts w:cs="Geneva"/>
          <w:color w:val="000000"/>
          <w:szCs w:val="20"/>
        </w:rPr>
        <w:t>This collateral support will be provided in the form of a CD deposited in the bank that is making your loan.</w:t>
      </w:r>
    </w:p>
    <w:p w:rsidR="00022895" w:rsidRPr="00931EBF" w:rsidRDefault="00022895" w:rsidP="00022895">
      <w:pPr>
        <w:rPr>
          <w:rFonts w:cs="Geneva"/>
          <w:color w:val="000000"/>
          <w:szCs w:val="20"/>
        </w:rPr>
      </w:pPr>
    </w:p>
    <w:p w:rsidR="00931EBF" w:rsidRPr="00931EBF" w:rsidRDefault="00851561" w:rsidP="00931EBF">
      <w:pPr>
        <w:contextualSpacing/>
        <w:rPr>
          <w:b/>
        </w:rPr>
      </w:pPr>
      <w:r w:rsidRPr="00931EBF">
        <w:rPr>
          <w:b/>
        </w:rPr>
        <w:t>Eligibility Requirements</w:t>
      </w:r>
    </w:p>
    <w:p w:rsidR="00931EBF" w:rsidRDefault="00851561" w:rsidP="00931EBF"/>
    <w:p w:rsidR="00931EBF" w:rsidRDefault="00851561" w:rsidP="00B814F6">
      <w:pPr>
        <w:numPr>
          <w:ilvl w:val="0"/>
          <w:numId w:val="2"/>
        </w:numPr>
        <w:contextualSpacing/>
      </w:pPr>
      <w:r>
        <w:t>Borrower is registered and doing business in Wyoming.</w:t>
      </w:r>
    </w:p>
    <w:p w:rsidR="00931EBF" w:rsidRDefault="00851561" w:rsidP="00B814F6">
      <w:pPr>
        <w:numPr>
          <w:ilvl w:val="0"/>
          <w:numId w:val="2"/>
        </w:numPr>
        <w:contextualSpacing/>
      </w:pPr>
      <w:r w:rsidRPr="00931EBF">
        <w:rPr>
          <w:rFonts w:eastAsia="+mn-ea" w:cs="+mn-cs"/>
          <w:color w:val="333333"/>
          <w:kern w:val="24"/>
          <w:szCs w:val="40"/>
        </w:rPr>
        <w:t>Borrower is for-profit business, registered non-profit, government-owned corporation; or consumer or marketing cooperative.</w:t>
      </w:r>
    </w:p>
    <w:p w:rsidR="00931EBF" w:rsidRDefault="00851561" w:rsidP="00B814F6">
      <w:pPr>
        <w:numPr>
          <w:ilvl w:val="0"/>
          <w:numId w:val="2"/>
        </w:numPr>
        <w:contextualSpacing/>
      </w:pPr>
      <w:r w:rsidRPr="00931EBF">
        <w:rPr>
          <w:rFonts w:eastAsia="+mn-ea" w:cs="+mn-cs"/>
          <w:color w:val="333333"/>
          <w:kern w:val="24"/>
          <w:szCs w:val="40"/>
        </w:rPr>
        <w:t>B</w:t>
      </w:r>
      <w:r w:rsidRPr="00931EBF">
        <w:rPr>
          <w:rFonts w:eastAsia="+mn-ea" w:cs="+mn-cs"/>
          <w:color w:val="333333"/>
          <w:kern w:val="24"/>
          <w:szCs w:val="40"/>
        </w:rPr>
        <w:t>orrower is not executive officer, director or principal shareholder of lender</w:t>
      </w:r>
      <w:r>
        <w:rPr>
          <w:rFonts w:eastAsia="+mn-ea" w:cs="+mn-cs"/>
          <w:color w:val="333333"/>
          <w:kern w:val="24"/>
          <w:szCs w:val="40"/>
        </w:rPr>
        <w:t>.</w:t>
      </w:r>
    </w:p>
    <w:p w:rsidR="00931EBF" w:rsidRDefault="00851561" w:rsidP="00B814F6">
      <w:pPr>
        <w:numPr>
          <w:ilvl w:val="0"/>
          <w:numId w:val="2"/>
        </w:numPr>
        <w:contextualSpacing/>
      </w:pPr>
      <w:r w:rsidRPr="00931EBF">
        <w:rPr>
          <w:rFonts w:eastAsia="+mn-ea" w:cs="+mn-cs"/>
          <w:color w:val="333333"/>
          <w:kern w:val="24"/>
          <w:szCs w:val="40"/>
        </w:rPr>
        <w:t>Borrower must be located in one of the participating municipalities</w:t>
      </w:r>
      <w:r>
        <w:t>. There is one exception: if the borrower is outside of municipal boundaries, the mayor</w:t>
      </w:r>
      <w:r w:rsidRPr="003C4148">
        <w:t xml:space="preserve"> of the</w:t>
      </w:r>
      <w:r>
        <w:t xml:space="preserve"> one of the part</w:t>
      </w:r>
      <w:r>
        <w:t>icipating</w:t>
      </w:r>
      <w:r w:rsidRPr="003C4148">
        <w:t xml:space="preserve"> municipalit</w:t>
      </w:r>
      <w:r>
        <w:t>ies</w:t>
      </w:r>
      <w:r w:rsidRPr="003C4148">
        <w:t xml:space="preserve"> </w:t>
      </w:r>
      <w:r>
        <w:t xml:space="preserve">must </w:t>
      </w:r>
      <w:r>
        <w:t>warrant</w:t>
      </w:r>
      <w:r w:rsidRPr="003C4148">
        <w:t xml:space="preserve">, in writing, that the loan will result in significant economic benefit to the </w:t>
      </w:r>
      <w:r>
        <w:t>p</w:t>
      </w:r>
      <w:r w:rsidRPr="003C4148">
        <w:t xml:space="preserve">articipating </w:t>
      </w:r>
      <w:r>
        <w:t>m</w:t>
      </w:r>
      <w:r w:rsidRPr="003C4148">
        <w:t>unicipality</w:t>
      </w:r>
      <w:r>
        <w:t xml:space="preserve"> providing the warrant.</w:t>
      </w:r>
    </w:p>
    <w:p w:rsidR="00931EBF" w:rsidRDefault="00851561" w:rsidP="00931EBF">
      <w:pPr>
        <w:numPr>
          <w:ilvl w:val="0"/>
          <w:numId w:val="2"/>
        </w:numPr>
        <w:contextualSpacing/>
      </w:pPr>
      <w:r w:rsidRPr="00931EBF">
        <w:t>Total principal will not exceed $</w:t>
      </w:r>
      <w:r>
        <w:t>5</w:t>
      </w:r>
      <w:r w:rsidRPr="00931EBF">
        <w:t>M</w:t>
      </w:r>
      <w:r>
        <w:t>.</w:t>
      </w:r>
    </w:p>
    <w:p w:rsidR="00931EBF" w:rsidRDefault="00851561" w:rsidP="00B814F6">
      <w:pPr>
        <w:numPr>
          <w:ilvl w:val="0"/>
          <w:numId w:val="2"/>
        </w:numPr>
        <w:contextualSpacing/>
      </w:pPr>
      <w:r w:rsidRPr="00931EBF">
        <w:t xml:space="preserve">Borrower </w:t>
      </w:r>
      <w:r>
        <w:t>is a small business with no more than</w:t>
      </w:r>
      <w:r w:rsidRPr="00931EBF">
        <w:t xml:space="preserve"> </w:t>
      </w:r>
      <w:r>
        <w:t xml:space="preserve">750 </w:t>
      </w:r>
      <w:r>
        <w:t>full time employees</w:t>
      </w:r>
      <w:r>
        <w:t>.</w:t>
      </w:r>
    </w:p>
    <w:p w:rsidR="00931EBF" w:rsidRPr="00931EBF" w:rsidRDefault="00851561" w:rsidP="00931EBF">
      <w:pPr>
        <w:numPr>
          <w:ilvl w:val="0"/>
          <w:numId w:val="2"/>
        </w:numPr>
        <w:contextualSpacing/>
      </w:pPr>
      <w:r w:rsidRPr="00931EBF">
        <w:t>The loan is for an allowable business purpose</w:t>
      </w:r>
      <w:r>
        <w:t xml:space="preserve"> such as</w:t>
      </w:r>
    </w:p>
    <w:p w:rsidR="00931EBF" w:rsidRPr="00931EBF" w:rsidRDefault="00851561" w:rsidP="00931EBF">
      <w:pPr>
        <w:pStyle w:val="ListParagraph"/>
        <w:numPr>
          <w:ilvl w:val="1"/>
          <w:numId w:val="2"/>
        </w:numPr>
      </w:pPr>
      <w:r w:rsidRPr="00931EBF">
        <w:t>Working capital</w:t>
      </w:r>
    </w:p>
    <w:p w:rsidR="00931EBF" w:rsidRPr="00931EBF" w:rsidRDefault="00851561" w:rsidP="00931EBF">
      <w:pPr>
        <w:pStyle w:val="ListParagraph"/>
        <w:numPr>
          <w:ilvl w:val="1"/>
          <w:numId w:val="2"/>
        </w:numPr>
      </w:pPr>
      <w:r w:rsidRPr="00931EBF">
        <w:t>Equipment</w:t>
      </w:r>
    </w:p>
    <w:p w:rsidR="00931EBF" w:rsidRDefault="00851561" w:rsidP="00B814F6">
      <w:pPr>
        <w:pStyle w:val="ListParagraph"/>
        <w:numPr>
          <w:ilvl w:val="1"/>
          <w:numId w:val="2"/>
        </w:numPr>
      </w:pPr>
      <w:r w:rsidRPr="00931EBF">
        <w:t>Renovation of owner-occupied real estate</w:t>
      </w:r>
    </w:p>
    <w:p w:rsidR="00931EBF" w:rsidRPr="00931EBF" w:rsidRDefault="00851561" w:rsidP="00931EBF">
      <w:pPr>
        <w:pStyle w:val="ListParagraph"/>
        <w:numPr>
          <w:ilvl w:val="0"/>
          <w:numId w:val="2"/>
        </w:numPr>
      </w:pPr>
      <w:r w:rsidRPr="00931EBF">
        <w:t>The loan is NOT for any of the following purposes:</w:t>
      </w:r>
    </w:p>
    <w:p w:rsidR="00931EBF" w:rsidRPr="00931EBF" w:rsidRDefault="00851561" w:rsidP="00931EBF">
      <w:pPr>
        <w:pStyle w:val="ListParagraph"/>
        <w:numPr>
          <w:ilvl w:val="1"/>
          <w:numId w:val="2"/>
        </w:numPr>
      </w:pPr>
      <w:r w:rsidRPr="00931EBF">
        <w:t>Lobbying</w:t>
      </w:r>
    </w:p>
    <w:p w:rsidR="00931EBF" w:rsidRPr="00931EBF" w:rsidRDefault="00851561" w:rsidP="00931EBF">
      <w:pPr>
        <w:pStyle w:val="ListParagraph"/>
        <w:numPr>
          <w:ilvl w:val="1"/>
          <w:numId w:val="2"/>
        </w:numPr>
      </w:pPr>
      <w:r w:rsidRPr="00931EBF">
        <w:t>Purchase of securities</w:t>
      </w:r>
    </w:p>
    <w:p w:rsidR="00931EBF" w:rsidRPr="00931EBF" w:rsidRDefault="00851561" w:rsidP="00931EBF">
      <w:pPr>
        <w:pStyle w:val="ListParagraph"/>
        <w:numPr>
          <w:ilvl w:val="1"/>
          <w:numId w:val="2"/>
        </w:numPr>
      </w:pPr>
      <w:r w:rsidRPr="00931EBF">
        <w:t>Repayment of Taxes</w:t>
      </w:r>
    </w:p>
    <w:p w:rsidR="00931EBF" w:rsidRPr="00931EBF" w:rsidRDefault="00851561" w:rsidP="00931EBF">
      <w:pPr>
        <w:pStyle w:val="ListParagraph"/>
        <w:numPr>
          <w:ilvl w:val="1"/>
          <w:numId w:val="2"/>
        </w:numPr>
      </w:pPr>
      <w:r w:rsidRPr="00931EBF">
        <w:t xml:space="preserve">Speculative </w:t>
      </w:r>
      <w:r w:rsidRPr="00931EBF">
        <w:t>activities</w:t>
      </w:r>
    </w:p>
    <w:p w:rsidR="00931EBF" w:rsidRPr="00931EBF" w:rsidRDefault="00851561" w:rsidP="00931EBF">
      <w:pPr>
        <w:pStyle w:val="ListParagraph"/>
        <w:numPr>
          <w:ilvl w:val="1"/>
          <w:numId w:val="2"/>
        </w:numPr>
      </w:pPr>
      <w:r w:rsidRPr="00931EBF">
        <w:t>Illegal activities</w:t>
      </w:r>
    </w:p>
    <w:p w:rsidR="00931EBF" w:rsidRPr="00931EBF" w:rsidRDefault="00851561" w:rsidP="00931EBF">
      <w:pPr>
        <w:pStyle w:val="ListParagraph"/>
        <w:numPr>
          <w:ilvl w:val="1"/>
          <w:numId w:val="2"/>
        </w:numPr>
      </w:pPr>
      <w:r w:rsidRPr="00931EBF">
        <w:t>Supporting businesses that earn more than ½ of revenue from lending activities, unless a CDFI</w:t>
      </w:r>
    </w:p>
    <w:p w:rsidR="008C78E2" w:rsidRDefault="00851561" w:rsidP="00931EBF">
      <w:pPr>
        <w:pStyle w:val="ListParagraph"/>
        <w:numPr>
          <w:ilvl w:val="1"/>
          <w:numId w:val="2"/>
        </w:numPr>
      </w:pPr>
      <w:r w:rsidRPr="00931EBF">
        <w:t>Gambling (unless &lt; 33% of sales are from lottery)</w:t>
      </w:r>
    </w:p>
    <w:p w:rsidR="008C78E2" w:rsidRPr="008C78E2" w:rsidRDefault="00851561" w:rsidP="008C78E2">
      <w:pPr>
        <w:pStyle w:val="ListParagraph"/>
        <w:numPr>
          <w:ilvl w:val="1"/>
          <w:numId w:val="2"/>
        </w:numPr>
      </w:pPr>
      <w:r w:rsidRPr="008C78E2">
        <w:t>Purchase of any portion of the ownership interest in any owner of the business</w:t>
      </w:r>
      <w:r>
        <w:t xml:space="preserve"> (Pu</w:t>
      </w:r>
      <w:r>
        <w:t>rchase of assets of a business is allowable.)</w:t>
      </w:r>
    </w:p>
    <w:p w:rsidR="008C78E2" w:rsidRPr="008C78E2" w:rsidRDefault="00851561" w:rsidP="008C78E2">
      <w:pPr>
        <w:pStyle w:val="ListParagraph"/>
        <w:numPr>
          <w:ilvl w:val="1"/>
          <w:numId w:val="2"/>
        </w:numPr>
      </w:pPr>
      <w:r w:rsidRPr="008C78E2">
        <w:lastRenderedPageBreak/>
        <w:t>Passive real estate investment, including</w:t>
      </w:r>
      <w:r>
        <w:t xml:space="preserve"> residential real e</w:t>
      </w:r>
      <w:r w:rsidRPr="008C78E2">
        <w:t>state</w:t>
      </w:r>
      <w:r>
        <w:t xml:space="preserve"> and commercial real e</w:t>
      </w:r>
      <w:r w:rsidRPr="008C78E2">
        <w:t>state (in which the legal borrower will not occupy at least 51% of the existing building or 60% of new construction.)</w:t>
      </w:r>
    </w:p>
    <w:p w:rsidR="00931EBF" w:rsidRDefault="00851561" w:rsidP="00931EBF">
      <w:pPr>
        <w:ind w:left="360"/>
      </w:pPr>
    </w:p>
    <w:p w:rsidR="00931EBF" w:rsidRPr="008C78E2" w:rsidRDefault="00851561" w:rsidP="008C78E2">
      <w:pPr>
        <w:ind w:left="360"/>
        <w:contextualSpacing/>
        <w:rPr>
          <w:b/>
        </w:rPr>
      </w:pPr>
      <w:r>
        <w:rPr>
          <w:b/>
        </w:rPr>
        <w:t>Fees</w:t>
      </w:r>
      <w:r>
        <w:rPr>
          <w:b/>
        </w:rPr>
        <w:t xml:space="preserve"> and Terms</w:t>
      </w:r>
    </w:p>
    <w:p w:rsidR="00931EBF" w:rsidRDefault="00851561" w:rsidP="00931EBF">
      <w:pPr>
        <w:ind w:left="360"/>
      </w:pPr>
    </w:p>
    <w:p w:rsidR="00B814F6" w:rsidRDefault="00851561" w:rsidP="00B814F6">
      <w:pPr>
        <w:ind w:left="720"/>
        <w:contextualSpacing/>
      </w:pPr>
      <w:r>
        <w:t>The WSCN Collateral Support Prog</w:t>
      </w:r>
      <w:r>
        <w:t>ram is generally used for short-</w:t>
      </w:r>
      <w:r>
        <w:t>term loans and lines of credit</w:t>
      </w:r>
      <w:r>
        <w:t xml:space="preserve">. </w:t>
      </w:r>
    </w:p>
    <w:p w:rsidR="00B814F6" w:rsidRDefault="00851561" w:rsidP="00B814F6">
      <w:pPr>
        <w:ind w:left="720"/>
        <w:contextualSpacing/>
      </w:pPr>
    </w:p>
    <w:p w:rsidR="00931EBF" w:rsidRDefault="00851561" w:rsidP="00B814F6">
      <w:pPr>
        <w:ind w:left="720"/>
        <w:contextualSpacing/>
      </w:pPr>
      <w:r>
        <w:t xml:space="preserve">The fee </w:t>
      </w:r>
      <w:r>
        <w:t xml:space="preserve">to the borrower </w:t>
      </w:r>
      <w:r>
        <w:t>is 2% of the loan am</w:t>
      </w:r>
      <w:r>
        <w:t>ount for 50% collateral support;</w:t>
      </w:r>
      <w:r>
        <w:t xml:space="preserve"> 1% for 25% </w:t>
      </w:r>
      <w:r>
        <w:t xml:space="preserve">collateral support. </w:t>
      </w:r>
    </w:p>
    <w:p w:rsidR="00B814F6" w:rsidRDefault="00851561" w:rsidP="00931EBF"/>
    <w:p w:rsidR="00B814F6" w:rsidRDefault="00851561" w:rsidP="00931EBF"/>
    <w:p w:rsidR="00B814F6" w:rsidRPr="008C78E2" w:rsidRDefault="00851561" w:rsidP="00B814F6">
      <w:pPr>
        <w:ind w:left="360"/>
        <w:contextualSpacing/>
        <w:rPr>
          <w:b/>
        </w:rPr>
      </w:pPr>
      <w:r>
        <w:rPr>
          <w:b/>
        </w:rPr>
        <w:t>For More Information</w:t>
      </w:r>
    </w:p>
    <w:p w:rsidR="00B814F6" w:rsidRDefault="00851561" w:rsidP="00B814F6">
      <w:pPr>
        <w:ind w:left="360"/>
      </w:pPr>
    </w:p>
    <w:p w:rsidR="00D4454B" w:rsidRDefault="00851561" w:rsidP="00B814F6">
      <w:pPr>
        <w:ind w:left="720"/>
        <w:contextualSpacing/>
      </w:pPr>
      <w:r>
        <w:t xml:space="preserve">Visit </w:t>
      </w:r>
      <w:hyperlink r:id="rId6" w:history="1">
        <w:r>
          <w:rPr>
            <w:rStyle w:val="Hyperlink"/>
          </w:rPr>
          <w:t>http://www.WyoSmartCapital.org</w:t>
        </w:r>
      </w:hyperlink>
      <w:r>
        <w:t xml:space="preserve"> or call </w:t>
      </w:r>
      <w:r>
        <w:t xml:space="preserve">Wyoming Smart Capital Network at </w:t>
      </w:r>
      <w:r>
        <w:t>877-</w:t>
      </w:r>
      <w:r>
        <w:t xml:space="preserve">255-3938. </w:t>
      </w:r>
    </w:p>
    <w:p w:rsidR="00D4454B" w:rsidRDefault="00851561" w:rsidP="00B814F6">
      <w:pPr>
        <w:ind w:left="720"/>
        <w:contextualSpacing/>
      </w:pPr>
    </w:p>
    <w:p w:rsidR="00D4454B" w:rsidRDefault="00851561" w:rsidP="00B814F6">
      <w:pPr>
        <w:ind w:left="720"/>
        <w:contextualSpacing/>
      </w:pPr>
    </w:p>
    <w:p w:rsidR="00022895" w:rsidRPr="00931EBF" w:rsidRDefault="00022895" w:rsidP="00931EBF"/>
    <w:sectPr w:rsidR="00022895" w:rsidRPr="00931EBF" w:rsidSect="000228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B1C40"/>
    <w:multiLevelType w:val="hybridMultilevel"/>
    <w:tmpl w:val="60E6D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BCEACD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A33996"/>
    <w:multiLevelType w:val="hybridMultilevel"/>
    <w:tmpl w:val="B8540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32594"/>
    <w:multiLevelType w:val="hybridMultilevel"/>
    <w:tmpl w:val="7946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22895"/>
    <w:rsid w:val="00022895"/>
    <w:rsid w:val="000C0633"/>
    <w:rsid w:val="00851561"/>
    <w:rsid w:val="00B26C7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23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31EBF"/>
    <w:pPr>
      <w:ind w:left="720"/>
      <w:contextualSpacing/>
    </w:pPr>
  </w:style>
  <w:style w:type="character" w:styleId="Hyperlink">
    <w:name w:val="Hyperlink"/>
    <w:basedOn w:val="DefaultParagraphFont"/>
    <w:rsid w:val="00B814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0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1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4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2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8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3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9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0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4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2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2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46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5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4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yosmartcapita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wleon</dc:creator>
  <cp:lastModifiedBy>wleon</cp:lastModifiedBy>
  <cp:revision>2</cp:revision>
  <cp:lastPrinted>2013-02-27T23:49:00Z</cp:lastPrinted>
  <dcterms:created xsi:type="dcterms:W3CDTF">2013-04-19T16:11:00Z</dcterms:created>
  <dcterms:modified xsi:type="dcterms:W3CDTF">2013-04-19T16:11:00Z</dcterms:modified>
</cp:coreProperties>
</file>